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C2C8C" w14:textId="77777777" w:rsidR="00E853DC" w:rsidRPr="00B70460" w:rsidRDefault="00E853DC">
      <w:pPr>
        <w:pBdr>
          <w:top w:val="nil"/>
          <w:left w:val="nil"/>
          <w:bottom w:val="nil"/>
          <w:right w:val="nil"/>
          <w:between w:val="nil"/>
        </w:pBdr>
        <w:shd w:val="clear" w:color="auto" w:fill="FFFFFF"/>
        <w:spacing w:after="0" w:line="240" w:lineRule="auto"/>
        <w:ind w:left="720" w:hanging="360"/>
        <w:rPr>
          <w:lang w:val="lt-LT"/>
        </w:rPr>
      </w:pPr>
    </w:p>
    <w:p w14:paraId="068DE630" w14:textId="77777777" w:rsidR="00E853DC" w:rsidRPr="00B70460" w:rsidRDefault="00E853DC" w:rsidP="00E853DC">
      <w:pPr>
        <w:pBdr>
          <w:top w:val="nil"/>
          <w:left w:val="nil"/>
          <w:bottom w:val="nil"/>
          <w:right w:val="nil"/>
          <w:between w:val="nil"/>
        </w:pBdr>
        <w:shd w:val="clear" w:color="auto" w:fill="FFFFFF"/>
        <w:spacing w:after="0" w:line="240" w:lineRule="auto"/>
        <w:ind w:left="720"/>
        <w:rPr>
          <w:rFonts w:ascii="Arial" w:eastAsia="Arial" w:hAnsi="Arial" w:cs="Arial"/>
          <w:b/>
          <w:color w:val="000000"/>
          <w:lang w:val="lt-LT"/>
        </w:rPr>
      </w:pPr>
    </w:p>
    <w:p w14:paraId="4BA8519D" w14:textId="1740BDB5" w:rsidR="004C5414" w:rsidRPr="00B70460" w:rsidRDefault="00B70460">
      <w:pPr>
        <w:shd w:val="clear" w:color="auto" w:fill="FFFFFF"/>
        <w:spacing w:after="0" w:line="240" w:lineRule="auto"/>
        <w:rPr>
          <w:rFonts w:ascii="Arial" w:eastAsia="Arial" w:hAnsi="Arial" w:cs="Arial"/>
          <w:b/>
          <w:color w:val="000000"/>
          <w:lang w:val="lt-LT"/>
        </w:rPr>
      </w:pPr>
      <w:r w:rsidRPr="00B70460">
        <w:rPr>
          <w:rFonts w:ascii="Arial" w:eastAsia="Arial" w:hAnsi="Arial" w:cs="Arial"/>
          <w:b/>
          <w:color w:val="000000"/>
          <w:lang w:val="lt-LT"/>
        </w:rPr>
        <w:t>1. Neįprasta analogija</w:t>
      </w:r>
    </w:p>
    <w:p w14:paraId="0AC8D286" w14:textId="77777777" w:rsidR="00B70460" w:rsidRPr="00B70460" w:rsidRDefault="00B70460" w:rsidP="00B70460">
      <w:pPr>
        <w:pBdr>
          <w:top w:val="nil"/>
          <w:left w:val="nil"/>
          <w:bottom w:val="nil"/>
          <w:right w:val="nil"/>
          <w:between w:val="nil"/>
        </w:pBdr>
        <w:shd w:val="clear" w:color="auto" w:fill="FFFFFF"/>
        <w:spacing w:after="0" w:line="240" w:lineRule="auto"/>
        <w:ind w:left="720"/>
        <w:rPr>
          <w:rFonts w:ascii="Arial" w:eastAsia="Arial" w:hAnsi="Arial" w:cs="Arial"/>
          <w:lang w:val="lt-LT"/>
        </w:rPr>
      </w:pPr>
    </w:p>
    <w:p w14:paraId="1A8FF97E" w14:textId="1096F885" w:rsidR="00B70460" w:rsidRPr="00B70460" w:rsidRDefault="00B70460" w:rsidP="00B70460">
      <w:pPr>
        <w:pBdr>
          <w:top w:val="nil"/>
          <w:left w:val="nil"/>
          <w:bottom w:val="nil"/>
          <w:right w:val="nil"/>
          <w:between w:val="nil"/>
        </w:pBdr>
        <w:shd w:val="clear" w:color="auto" w:fill="FFFFFF"/>
        <w:spacing w:after="0" w:line="240" w:lineRule="auto"/>
        <w:rPr>
          <w:color w:val="000000"/>
          <w:lang w:val="lt-LT"/>
        </w:rPr>
      </w:pPr>
      <w:r w:rsidRPr="00B70460">
        <w:rPr>
          <w:rFonts w:ascii="Arial" w:eastAsia="Arial" w:hAnsi="Arial" w:cs="Arial"/>
          <w:lang w:val="lt-LT"/>
        </w:rPr>
        <w:t>Tai yra strategija generuoti naujas idėjas pasitelkiant analogijas, tai yra rasti panašumą tarp dviejų svetimų ir tolimų situacijų ar sistemų. Veiksmai:</w:t>
      </w:r>
    </w:p>
    <w:p w14:paraId="13A3DE61" w14:textId="77777777" w:rsidR="00B70460" w:rsidRPr="00B70460" w:rsidRDefault="00B70460" w:rsidP="00B70460">
      <w:pPr>
        <w:pBdr>
          <w:top w:val="nil"/>
          <w:left w:val="nil"/>
          <w:bottom w:val="nil"/>
          <w:right w:val="nil"/>
          <w:between w:val="nil"/>
        </w:pBdr>
        <w:shd w:val="clear" w:color="auto" w:fill="FFFFFF"/>
        <w:spacing w:after="0" w:line="240" w:lineRule="auto"/>
        <w:ind w:left="720"/>
        <w:rPr>
          <w:color w:val="000000"/>
          <w:lang w:val="lt-LT"/>
        </w:rPr>
      </w:pPr>
    </w:p>
    <w:p w14:paraId="4E284A87" w14:textId="77777777" w:rsidR="00B70460" w:rsidRPr="00B70460" w:rsidRDefault="00B70460" w:rsidP="00B70460">
      <w:pPr>
        <w:shd w:val="clear" w:color="auto" w:fill="FFFFFF"/>
        <w:spacing w:after="0" w:line="240" w:lineRule="auto"/>
        <w:rPr>
          <w:rFonts w:ascii="Arial" w:eastAsia="Arial" w:hAnsi="Arial" w:cs="Arial"/>
          <w:color w:val="000000"/>
          <w:lang w:val="lt-LT"/>
        </w:rPr>
      </w:pPr>
      <w:r w:rsidRPr="00B70460">
        <w:rPr>
          <w:rFonts w:ascii="Arial" w:eastAsia="Arial" w:hAnsi="Arial" w:cs="Arial"/>
          <w:color w:val="000000"/>
          <w:lang w:val="lt-LT"/>
        </w:rPr>
        <w:t>1. Pasirinkite du labai skirtingus objektus, sąvokas ar produktus. Vienas pažįstamas jūsų gyvenime ar profesijoje, o kitas mažai žinomas.</w:t>
      </w:r>
    </w:p>
    <w:p w14:paraId="7AC00D6F" w14:textId="77777777" w:rsidR="00B70460" w:rsidRPr="00B70460" w:rsidRDefault="00B70460" w:rsidP="00B70460">
      <w:pPr>
        <w:shd w:val="clear" w:color="auto" w:fill="FFFFFF"/>
        <w:spacing w:after="0" w:line="240" w:lineRule="auto"/>
        <w:rPr>
          <w:rFonts w:ascii="Arial" w:eastAsia="Arial" w:hAnsi="Arial" w:cs="Arial"/>
          <w:color w:val="000000"/>
          <w:lang w:val="lt-LT"/>
        </w:rPr>
      </w:pPr>
      <w:r w:rsidRPr="00B70460">
        <w:rPr>
          <w:rFonts w:ascii="Arial" w:eastAsia="Arial" w:hAnsi="Arial" w:cs="Arial"/>
          <w:color w:val="000000"/>
          <w:lang w:val="lt-LT"/>
        </w:rPr>
        <w:t>2. Parašykite viską, ką žinote ar prisiminėte apie 1 produktą, kaip idėjų sūkurį, ir šalia kiekvienos idėjos parašykite, ką jis siūlo iš kito produkto 2.</w:t>
      </w:r>
    </w:p>
    <w:p w14:paraId="34D046D9" w14:textId="77777777" w:rsidR="00B70460" w:rsidRPr="00B70460" w:rsidRDefault="00B70460" w:rsidP="00B70460">
      <w:pPr>
        <w:shd w:val="clear" w:color="auto" w:fill="FFFFFF"/>
        <w:spacing w:after="0" w:line="240" w:lineRule="auto"/>
        <w:rPr>
          <w:rFonts w:ascii="Arial" w:eastAsia="Arial" w:hAnsi="Arial" w:cs="Arial"/>
          <w:color w:val="000000"/>
          <w:lang w:val="lt-LT"/>
        </w:rPr>
      </w:pPr>
      <w:r w:rsidRPr="00B70460">
        <w:rPr>
          <w:rFonts w:ascii="Arial" w:eastAsia="Arial" w:hAnsi="Arial" w:cs="Arial"/>
          <w:color w:val="000000"/>
          <w:lang w:val="lt-LT"/>
        </w:rPr>
        <w:t>3. Darykite tą patį, bet atvirkščiai. Tai yra, parašykite viską, ką galite galvoti apie 2 produktą ir šalia jo, ką siūlote apie 1 produktą.</w:t>
      </w:r>
    </w:p>
    <w:p w14:paraId="353ABF7C" w14:textId="77777777" w:rsidR="00B70460" w:rsidRPr="00B70460" w:rsidRDefault="00B70460" w:rsidP="00B70460">
      <w:pPr>
        <w:shd w:val="clear" w:color="auto" w:fill="FFFFFF"/>
        <w:spacing w:after="0" w:line="240" w:lineRule="auto"/>
        <w:rPr>
          <w:rFonts w:ascii="Arial" w:eastAsia="Arial" w:hAnsi="Arial" w:cs="Arial"/>
          <w:color w:val="000000"/>
          <w:lang w:val="lt-LT"/>
        </w:rPr>
      </w:pPr>
      <w:r w:rsidRPr="00B70460">
        <w:rPr>
          <w:rFonts w:ascii="Arial" w:eastAsia="Arial" w:hAnsi="Arial" w:cs="Arial"/>
          <w:color w:val="000000"/>
          <w:lang w:val="lt-LT"/>
        </w:rPr>
        <w:t>4. Pabraukite tai, kas jūsų parašytose idėjose patraukliausia, stebina ar puiku.</w:t>
      </w:r>
    </w:p>
    <w:p w14:paraId="29D0CAEB" w14:textId="77777777" w:rsidR="00B70460" w:rsidRPr="00B70460" w:rsidRDefault="00B70460" w:rsidP="00B70460">
      <w:pPr>
        <w:shd w:val="clear" w:color="auto" w:fill="FFFFFF"/>
        <w:spacing w:after="0" w:line="240" w:lineRule="auto"/>
        <w:rPr>
          <w:rFonts w:ascii="Arial" w:eastAsia="Arial" w:hAnsi="Arial" w:cs="Arial"/>
          <w:color w:val="000000"/>
          <w:lang w:val="lt-LT"/>
        </w:rPr>
      </w:pPr>
      <w:r w:rsidRPr="00B70460">
        <w:rPr>
          <w:rFonts w:ascii="Arial" w:eastAsia="Arial" w:hAnsi="Arial" w:cs="Arial"/>
          <w:color w:val="000000"/>
          <w:lang w:val="lt-LT"/>
        </w:rPr>
        <w:t>5. Dabar suprojektuokite trečią gaminį su įdomiausiais 1 ir 2 objektų ingredientais. Nubraižykite jį.</w:t>
      </w:r>
    </w:p>
    <w:p w14:paraId="4A056F2A" w14:textId="77777777" w:rsidR="00B70460" w:rsidRPr="00B70460" w:rsidRDefault="00B70460" w:rsidP="00B70460">
      <w:pPr>
        <w:shd w:val="clear" w:color="auto" w:fill="FFFFFF"/>
        <w:spacing w:after="0" w:line="240" w:lineRule="auto"/>
        <w:rPr>
          <w:rFonts w:ascii="Arial" w:eastAsia="Arial" w:hAnsi="Arial" w:cs="Arial"/>
          <w:color w:val="000000"/>
          <w:lang w:val="lt-LT"/>
        </w:rPr>
      </w:pPr>
      <w:r w:rsidRPr="00B70460">
        <w:rPr>
          <w:rFonts w:ascii="Arial" w:eastAsia="Arial" w:hAnsi="Arial" w:cs="Arial"/>
          <w:color w:val="000000"/>
          <w:lang w:val="lt-LT"/>
        </w:rPr>
        <w:t>6. Transformuokite objektą 1 žingsnis po žingsnio į 2 objektą ir atvirkščiai. Pagalvokite apie šios metamorfozės problemas ir sunkumus</w:t>
      </w:r>
    </w:p>
    <w:p w14:paraId="3209FAA2" w14:textId="4D867746" w:rsidR="004C5414" w:rsidRPr="00B70460" w:rsidRDefault="00B70460" w:rsidP="00B70460">
      <w:pPr>
        <w:shd w:val="clear" w:color="auto" w:fill="FFFFFF"/>
        <w:spacing w:after="0" w:line="240" w:lineRule="auto"/>
        <w:rPr>
          <w:rFonts w:ascii="Arial" w:eastAsia="Arial" w:hAnsi="Arial" w:cs="Arial"/>
          <w:lang w:val="lt-LT"/>
        </w:rPr>
      </w:pPr>
      <w:r w:rsidRPr="00B70460">
        <w:rPr>
          <w:rFonts w:ascii="Arial" w:eastAsia="Arial" w:hAnsi="Arial" w:cs="Arial"/>
          <w:color w:val="000000"/>
          <w:lang w:val="lt-LT"/>
        </w:rPr>
        <w:t>7. Šioje analogijoje išsakykite viską, ką galvojote ir pajutote.</w:t>
      </w:r>
    </w:p>
    <w:p w14:paraId="43E0E8F3" w14:textId="77777777" w:rsidR="004C5414" w:rsidRPr="00B70460" w:rsidRDefault="004C5414">
      <w:pPr>
        <w:shd w:val="clear" w:color="auto" w:fill="FFFFFF"/>
        <w:spacing w:after="0" w:line="240" w:lineRule="auto"/>
        <w:rPr>
          <w:rFonts w:ascii="Arial" w:eastAsia="Arial" w:hAnsi="Arial" w:cs="Arial"/>
          <w:lang w:val="lt-LT"/>
        </w:rPr>
      </w:pPr>
    </w:p>
    <w:p w14:paraId="265592C9" w14:textId="76845366" w:rsidR="004C5414" w:rsidRPr="00B70460" w:rsidRDefault="00B70460" w:rsidP="00B70460">
      <w:pPr>
        <w:pBdr>
          <w:top w:val="nil"/>
          <w:left w:val="nil"/>
          <w:bottom w:val="nil"/>
          <w:right w:val="nil"/>
          <w:between w:val="nil"/>
        </w:pBdr>
        <w:ind w:left="360"/>
        <w:rPr>
          <w:rFonts w:ascii="Arial" w:eastAsia="Arial" w:hAnsi="Arial" w:cs="Arial"/>
          <w:b/>
          <w:color w:val="000000"/>
          <w:lang w:val="lt-LT"/>
        </w:rPr>
      </w:pPr>
      <w:r w:rsidRPr="00B70460">
        <w:rPr>
          <w:rFonts w:ascii="Arial" w:eastAsia="Arial" w:hAnsi="Arial" w:cs="Arial"/>
          <w:b/>
          <w:color w:val="000000"/>
          <w:lang w:val="lt-LT"/>
        </w:rPr>
        <w:t xml:space="preserve">2. </w:t>
      </w:r>
      <w:proofErr w:type="spellStart"/>
      <w:r w:rsidR="00E853DC" w:rsidRPr="00B70460">
        <w:rPr>
          <w:rFonts w:ascii="Arial" w:eastAsia="Arial" w:hAnsi="Arial" w:cs="Arial"/>
          <w:b/>
          <w:color w:val="000000"/>
          <w:lang w:val="lt-LT"/>
        </w:rPr>
        <w:t>Ideart</w:t>
      </w:r>
      <w:proofErr w:type="spellEnd"/>
    </w:p>
    <w:p w14:paraId="4CB387FD" w14:textId="77777777" w:rsidR="00B70460" w:rsidRPr="00B70460" w:rsidRDefault="00B70460">
      <w:pPr>
        <w:shd w:val="clear" w:color="auto" w:fill="FFFFFF"/>
        <w:spacing w:after="360"/>
        <w:rPr>
          <w:rFonts w:ascii="Arial" w:eastAsia="Arial" w:hAnsi="Arial" w:cs="Arial"/>
          <w:lang w:val="lt-LT"/>
        </w:rPr>
      </w:pPr>
      <w:r w:rsidRPr="00B70460">
        <w:rPr>
          <w:rFonts w:ascii="Arial" w:eastAsia="Arial" w:hAnsi="Arial" w:cs="Arial"/>
          <w:lang w:val="lt-LT"/>
        </w:rPr>
        <w:t>Tai yra idėjų generavimo technika (provokuojančio mąstymo srityje), kurioje naudojami vizualiniai dirgikliai, dažniausiai paveikslai.</w:t>
      </w:r>
    </w:p>
    <w:p w14:paraId="399C6B53" w14:textId="77777777" w:rsidR="00B70460" w:rsidRPr="00B70460" w:rsidRDefault="00B70460" w:rsidP="00B70460">
      <w:pPr>
        <w:shd w:val="clear" w:color="auto" w:fill="FFFFFF"/>
        <w:spacing w:after="210" w:line="240" w:lineRule="auto"/>
        <w:rPr>
          <w:lang w:val="lt-LT"/>
        </w:rPr>
      </w:pPr>
      <w:r w:rsidRPr="00B70460">
        <w:rPr>
          <w:rFonts w:ascii="Arial" w:eastAsia="Arial" w:hAnsi="Arial" w:cs="Arial"/>
          <w:lang w:val="lt-LT"/>
        </w:rPr>
        <w:t>Konkretaus kūrybinio dėmesio akivaizdoje intuityviai pasirenkamas vaizdas, galintis generuoti analogijas ir asociacijas. Visų pirma (nesvarbu, ar technika naudojama atskirai, ar kaip komanda) kalbama apie paveikslo apibūdinimą ir „žaidimą“ su sąvokomis, kurios gali būti išvestos (istorijų kūrimas, paslėptų aspektų aptikimas, pasakėčių kūrimas, palyginimai ir kt.). .). ). Vėliau ir kaip esminį technikos žingsnį, jis bandys „priversti“ ryšius tarp kūrybinio dėmesio ir paveikslo. Tuo metu labai svarbus vaidmuo tenka technikos vartotojų analogiškumui, kurie turi naudoti tokio tipo frazes ir kūrybinius judesius:</w:t>
      </w:r>
    </w:p>
    <w:p w14:paraId="75924A3B" w14:textId="205565CF" w:rsidR="004C5414" w:rsidRPr="00B70460" w:rsidRDefault="00B70460">
      <w:pPr>
        <w:numPr>
          <w:ilvl w:val="0"/>
          <w:numId w:val="3"/>
        </w:numPr>
        <w:shd w:val="clear" w:color="auto" w:fill="FFFFFF"/>
        <w:spacing w:after="210" w:line="240" w:lineRule="auto"/>
        <w:ind w:left="0"/>
        <w:rPr>
          <w:lang w:val="lt-LT"/>
        </w:rPr>
      </w:pPr>
      <w:r w:rsidRPr="00B70460">
        <w:rPr>
          <w:rFonts w:ascii="Arial" w:eastAsia="Arial" w:hAnsi="Arial" w:cs="Arial"/>
          <w:lang w:val="lt-LT"/>
        </w:rPr>
        <w:t>Tai panašu į mūsų problemą šiuo aspektu…</w:t>
      </w:r>
    </w:p>
    <w:p w14:paraId="0836A509" w14:textId="2D03381C" w:rsidR="004C5414" w:rsidRPr="00B70460" w:rsidRDefault="00B70460">
      <w:pPr>
        <w:numPr>
          <w:ilvl w:val="0"/>
          <w:numId w:val="3"/>
        </w:numPr>
        <w:shd w:val="clear" w:color="auto" w:fill="FFFFFF"/>
        <w:spacing w:after="210" w:line="240" w:lineRule="auto"/>
        <w:ind w:left="0"/>
        <w:rPr>
          <w:lang w:val="lt-LT"/>
        </w:rPr>
      </w:pPr>
      <w:r w:rsidRPr="00B70460">
        <w:rPr>
          <w:rFonts w:ascii="Arial" w:eastAsia="Arial" w:hAnsi="Arial" w:cs="Arial"/>
          <w:lang w:val="lt-LT"/>
        </w:rPr>
        <w:t>Šis paveikslo ar piešinio aspektas panašus į …</w:t>
      </w:r>
    </w:p>
    <w:p w14:paraId="3365F774" w14:textId="790EED9E" w:rsidR="004C5414" w:rsidRPr="00B70460" w:rsidRDefault="00B70460">
      <w:pPr>
        <w:numPr>
          <w:ilvl w:val="0"/>
          <w:numId w:val="3"/>
        </w:numPr>
        <w:shd w:val="clear" w:color="auto" w:fill="FFFFFF"/>
        <w:spacing w:after="210" w:line="240" w:lineRule="auto"/>
        <w:ind w:left="0"/>
        <w:rPr>
          <w:lang w:val="lt-LT"/>
        </w:rPr>
      </w:pPr>
      <w:r w:rsidRPr="00B70460">
        <w:rPr>
          <w:rFonts w:ascii="Arial" w:eastAsia="Arial" w:hAnsi="Arial" w:cs="Arial"/>
          <w:lang w:val="lt-LT"/>
        </w:rPr>
        <w:t>Ir jeigu darysite taip kaip…</w:t>
      </w:r>
    </w:p>
    <w:p w14:paraId="69D2E4EB" w14:textId="518C74CB" w:rsidR="004C5414" w:rsidRPr="00B70460" w:rsidRDefault="00B70460">
      <w:pPr>
        <w:numPr>
          <w:ilvl w:val="0"/>
          <w:numId w:val="3"/>
        </w:numPr>
        <w:shd w:val="clear" w:color="auto" w:fill="FFFFFF"/>
        <w:spacing w:after="210" w:line="240" w:lineRule="auto"/>
        <w:ind w:left="0"/>
        <w:rPr>
          <w:lang w:val="lt-LT"/>
        </w:rPr>
      </w:pPr>
      <w:r w:rsidRPr="00B70460">
        <w:rPr>
          <w:rFonts w:ascii="Arial" w:eastAsia="Arial" w:hAnsi="Arial" w:cs="Arial"/>
          <w:lang w:val="lt-LT"/>
        </w:rPr>
        <w:t>Mūsų naujas produktas yra kaip … nes…</w:t>
      </w:r>
    </w:p>
    <w:p w14:paraId="5AA50C06" w14:textId="6C8B3F30" w:rsidR="004C5414" w:rsidRPr="00B70460" w:rsidRDefault="00B70460">
      <w:pPr>
        <w:shd w:val="clear" w:color="auto" w:fill="FFFFFF"/>
        <w:spacing w:after="150"/>
        <w:rPr>
          <w:rFonts w:ascii="Arial" w:eastAsia="Arial" w:hAnsi="Arial" w:cs="Arial"/>
          <w:lang w:val="lt-LT"/>
        </w:rPr>
      </w:pPr>
      <w:r w:rsidRPr="00B70460">
        <w:rPr>
          <w:rFonts w:ascii="Arial" w:eastAsia="Arial" w:hAnsi="Arial" w:cs="Arial"/>
          <w:lang w:val="lt-LT"/>
        </w:rPr>
        <w:t>Pavyzdys</w:t>
      </w:r>
    </w:p>
    <w:p w14:paraId="7C3E762B" w14:textId="77777777" w:rsidR="00B70460" w:rsidRPr="00B70460" w:rsidRDefault="00B70460">
      <w:pPr>
        <w:shd w:val="clear" w:color="auto" w:fill="FFFFFF"/>
        <w:jc w:val="center"/>
        <w:rPr>
          <w:rFonts w:ascii="Arial" w:eastAsia="Arial" w:hAnsi="Arial" w:cs="Arial"/>
          <w:lang w:val="lt-LT"/>
        </w:rPr>
      </w:pPr>
      <w:r w:rsidRPr="00B70460">
        <w:rPr>
          <w:rFonts w:ascii="Arial" w:eastAsia="Arial" w:hAnsi="Arial" w:cs="Arial"/>
          <w:lang w:val="lt-LT"/>
        </w:rPr>
        <w:t xml:space="preserve">Produktų vadybininkų grupė yra pasirengusi rasti idėjų naujiems vasaros ledams, kurie generuoja didelę paklausą. Sesijos režisierius naudoja belgų tapytojo </w:t>
      </w:r>
      <w:proofErr w:type="spellStart"/>
      <w:r w:rsidRPr="00B70460">
        <w:rPr>
          <w:rFonts w:ascii="Arial" w:eastAsia="Arial" w:hAnsi="Arial" w:cs="Arial"/>
          <w:lang w:val="lt-LT"/>
        </w:rPr>
        <w:t>René</w:t>
      </w:r>
      <w:proofErr w:type="spellEnd"/>
      <w:r w:rsidRPr="00B70460">
        <w:rPr>
          <w:rFonts w:ascii="Arial" w:eastAsia="Arial" w:hAnsi="Arial" w:cs="Arial"/>
          <w:lang w:val="lt-LT"/>
        </w:rPr>
        <w:t xml:space="preserve"> </w:t>
      </w:r>
      <w:proofErr w:type="spellStart"/>
      <w:r w:rsidRPr="00B70460">
        <w:rPr>
          <w:rFonts w:ascii="Arial" w:eastAsia="Arial" w:hAnsi="Arial" w:cs="Arial"/>
          <w:lang w:val="lt-LT"/>
        </w:rPr>
        <w:t>Magritte</w:t>
      </w:r>
      <w:proofErr w:type="spellEnd"/>
      <w:r w:rsidRPr="00B70460">
        <w:rPr>
          <w:rFonts w:ascii="Arial" w:eastAsia="Arial" w:hAnsi="Arial" w:cs="Arial"/>
          <w:lang w:val="lt-LT"/>
        </w:rPr>
        <w:t xml:space="preserve"> paveikslą „</w:t>
      </w:r>
      <w:proofErr w:type="spellStart"/>
      <w:r w:rsidRPr="00B70460">
        <w:rPr>
          <w:rFonts w:ascii="Arial" w:eastAsia="Arial" w:hAnsi="Arial" w:cs="Arial"/>
          <w:lang w:val="lt-LT"/>
        </w:rPr>
        <w:t>Le</w:t>
      </w:r>
      <w:proofErr w:type="spellEnd"/>
      <w:r w:rsidRPr="00B70460">
        <w:rPr>
          <w:rFonts w:ascii="Arial" w:eastAsia="Arial" w:hAnsi="Arial" w:cs="Arial"/>
          <w:lang w:val="lt-LT"/>
        </w:rPr>
        <w:t xml:space="preserve"> </w:t>
      </w:r>
      <w:proofErr w:type="spellStart"/>
      <w:r w:rsidRPr="00B70460">
        <w:rPr>
          <w:rFonts w:ascii="Arial" w:eastAsia="Arial" w:hAnsi="Arial" w:cs="Arial"/>
          <w:lang w:val="lt-LT"/>
        </w:rPr>
        <w:t>viol</w:t>
      </w:r>
      <w:proofErr w:type="spellEnd"/>
      <w:r w:rsidRPr="00B70460">
        <w:rPr>
          <w:rFonts w:ascii="Arial" w:eastAsia="Arial" w:hAnsi="Arial" w:cs="Arial"/>
          <w:lang w:val="lt-LT"/>
        </w:rPr>
        <w:t>“.</w:t>
      </w:r>
    </w:p>
    <w:p w14:paraId="7249A5A2" w14:textId="4F975902" w:rsidR="004C5414" w:rsidRPr="00B70460" w:rsidRDefault="00E853DC">
      <w:pPr>
        <w:shd w:val="clear" w:color="auto" w:fill="FFFFFF"/>
        <w:jc w:val="center"/>
        <w:rPr>
          <w:rFonts w:ascii="Arial" w:eastAsia="Arial" w:hAnsi="Arial" w:cs="Arial"/>
          <w:lang w:val="lt-LT"/>
        </w:rPr>
      </w:pPr>
      <w:r w:rsidRPr="00B70460">
        <w:rPr>
          <w:rFonts w:ascii="Arial" w:eastAsia="Arial" w:hAnsi="Arial" w:cs="Arial"/>
          <w:lang w:val="lt-LT"/>
        </w:rPr>
        <w:drawing>
          <wp:inline distT="0" distB="0" distL="0" distR="0" wp14:anchorId="2B6CB532" wp14:editId="04701BB4">
            <wp:extent cx="704850" cy="1009650"/>
            <wp:effectExtent l="0" t="0" r="0" b="0"/>
            <wp:docPr id="1" name="image1.jpg" descr="leviol"/>
            <wp:cNvGraphicFramePr/>
            <a:graphic xmlns:a="http://schemas.openxmlformats.org/drawingml/2006/main">
              <a:graphicData uri="http://schemas.openxmlformats.org/drawingml/2006/picture">
                <pic:pic xmlns:pic="http://schemas.openxmlformats.org/drawingml/2006/picture">
                  <pic:nvPicPr>
                    <pic:cNvPr id="0" name="image1.jpg" descr="leviol"/>
                    <pic:cNvPicPr preferRelativeResize="0"/>
                  </pic:nvPicPr>
                  <pic:blipFill>
                    <a:blip r:embed="rId5"/>
                    <a:srcRect/>
                    <a:stretch>
                      <a:fillRect/>
                    </a:stretch>
                  </pic:blipFill>
                  <pic:spPr>
                    <a:xfrm>
                      <a:off x="0" y="0"/>
                      <a:ext cx="704850" cy="1009650"/>
                    </a:xfrm>
                    <a:prstGeom prst="rect">
                      <a:avLst/>
                    </a:prstGeom>
                    <a:ln/>
                  </pic:spPr>
                </pic:pic>
              </a:graphicData>
            </a:graphic>
          </wp:inline>
        </w:drawing>
      </w:r>
    </w:p>
    <w:p w14:paraId="0E642EB1" w14:textId="49D6F0EC" w:rsidR="004C5414" w:rsidRPr="00B70460" w:rsidRDefault="00B70460">
      <w:pPr>
        <w:shd w:val="clear" w:color="auto" w:fill="FFFFFF"/>
        <w:rPr>
          <w:rFonts w:ascii="Arial" w:eastAsia="Arial" w:hAnsi="Arial" w:cs="Arial"/>
          <w:lang w:val="lt-LT"/>
        </w:rPr>
      </w:pPr>
      <w:r w:rsidRPr="00B70460">
        <w:rPr>
          <w:rFonts w:ascii="Arial" w:eastAsia="Arial" w:hAnsi="Arial" w:cs="Arial"/>
          <w:lang w:val="lt-LT"/>
        </w:rPr>
        <w:lastRenderedPageBreak/>
        <w:t>Tai gali būti kelios idėjos, sugeneruotos vizualizuojant paveikslą. Reikia atsižvelgti į tai, kad tai būtų greitai skrydžio metu paleistos idėjos ir kad jas reikėtų nugludinti bei patikslinti.</w:t>
      </w:r>
    </w:p>
    <w:tbl>
      <w:tblPr>
        <w:tblStyle w:val="a"/>
        <w:tblW w:w="6374" w:type="dxa"/>
        <w:tblInd w:w="0" w:type="dxa"/>
        <w:tblBorders>
          <w:top w:val="single" w:sz="6" w:space="0" w:color="EFEFEF"/>
          <w:left w:val="single" w:sz="6" w:space="0" w:color="EFEFEF"/>
          <w:bottom w:val="single" w:sz="6" w:space="0" w:color="EFEFEF"/>
          <w:right w:val="single" w:sz="6" w:space="0" w:color="EFEFEF"/>
        </w:tblBorders>
        <w:tblLayout w:type="fixed"/>
        <w:tblLook w:val="0400" w:firstRow="0" w:lastRow="0" w:firstColumn="0" w:lastColumn="0" w:noHBand="0" w:noVBand="1"/>
      </w:tblPr>
      <w:tblGrid>
        <w:gridCol w:w="3503"/>
        <w:gridCol w:w="2871"/>
      </w:tblGrid>
      <w:tr w:rsidR="004C5414" w:rsidRPr="00B70460" w14:paraId="05C0EE50"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345FF313" w14:textId="12ED3052" w:rsidR="004C5414" w:rsidRPr="00B70460" w:rsidRDefault="00B70460">
            <w:pPr>
              <w:spacing w:after="360"/>
              <w:rPr>
                <w:rFonts w:ascii="Arial" w:eastAsia="Arial" w:hAnsi="Arial" w:cs="Arial"/>
                <w:lang w:val="lt-LT"/>
              </w:rPr>
            </w:pPr>
            <w:r w:rsidRPr="00B70460">
              <w:rPr>
                <w:rFonts w:ascii="Arial" w:eastAsia="Arial" w:hAnsi="Arial" w:cs="Arial"/>
                <w:lang w:val="lt-LT"/>
              </w:rPr>
              <w:t>Akys, nosis ir burna tampa moters kūnu</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FFCF146" w14:textId="6CEFE1AE" w:rsidR="004C5414" w:rsidRPr="00B70460" w:rsidRDefault="00B70460">
            <w:pPr>
              <w:spacing w:after="360"/>
              <w:rPr>
                <w:rFonts w:ascii="Arial" w:eastAsia="Arial" w:hAnsi="Arial" w:cs="Arial"/>
                <w:lang w:val="lt-LT"/>
              </w:rPr>
            </w:pPr>
            <w:r w:rsidRPr="00B70460">
              <w:rPr>
                <w:rFonts w:ascii="Arial" w:eastAsia="Arial" w:hAnsi="Arial" w:cs="Arial"/>
                <w:lang w:val="lt-LT"/>
              </w:rPr>
              <w:t>Ledai, imituojantys moters kūną</w:t>
            </w:r>
          </w:p>
        </w:tc>
      </w:tr>
      <w:tr w:rsidR="004C5414" w:rsidRPr="00B70460" w14:paraId="4018941E"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5832B68" w14:textId="2A8B8539" w:rsidR="004C5414" w:rsidRPr="00B70460" w:rsidRDefault="00B70460">
            <w:pPr>
              <w:spacing w:after="360"/>
              <w:rPr>
                <w:rFonts w:ascii="Arial" w:eastAsia="Arial" w:hAnsi="Arial" w:cs="Arial"/>
                <w:lang w:val="lt-LT"/>
              </w:rPr>
            </w:pPr>
            <w:r w:rsidRPr="00B70460">
              <w:rPr>
                <w:rFonts w:ascii="Arial" w:eastAsia="Arial" w:hAnsi="Arial" w:cs="Arial"/>
                <w:lang w:val="lt-LT"/>
              </w:rPr>
              <w:t>Panašu, kad plaukai yra labai nuoseklūs</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24252567" w14:textId="267B9F7A" w:rsidR="004C5414" w:rsidRPr="00B70460" w:rsidRDefault="00B70460">
            <w:pPr>
              <w:spacing w:after="360"/>
              <w:rPr>
                <w:rFonts w:ascii="Arial" w:eastAsia="Arial" w:hAnsi="Arial" w:cs="Arial"/>
                <w:lang w:val="lt-LT"/>
              </w:rPr>
            </w:pPr>
            <w:r w:rsidRPr="00B70460">
              <w:rPr>
                <w:rFonts w:ascii="Arial" w:eastAsia="Arial" w:hAnsi="Arial" w:cs="Arial"/>
                <w:lang w:val="lt-LT"/>
              </w:rPr>
              <w:t>Ledai su tam tikro tipo valgomais plaukais</w:t>
            </w:r>
          </w:p>
        </w:tc>
      </w:tr>
      <w:tr w:rsidR="004C5414" w:rsidRPr="00B70460" w14:paraId="75D6F7AE"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09F7297B" w14:textId="6AAF11F9" w:rsidR="004C5414" w:rsidRPr="00B70460" w:rsidRDefault="00B70460">
            <w:pPr>
              <w:spacing w:after="360"/>
              <w:rPr>
                <w:rFonts w:ascii="Arial" w:eastAsia="Arial" w:hAnsi="Arial" w:cs="Arial"/>
                <w:lang w:val="lt-LT"/>
              </w:rPr>
            </w:pPr>
            <w:r w:rsidRPr="00B70460">
              <w:rPr>
                <w:rFonts w:ascii="Arial" w:eastAsia="Arial" w:hAnsi="Arial" w:cs="Arial"/>
                <w:lang w:val="lt-LT"/>
              </w:rPr>
              <w:t>Kaklas yra itin ilgas, atrodo kaip žirafa</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69FEFA58" w14:textId="7FD31B03" w:rsidR="004C5414" w:rsidRPr="00B70460" w:rsidRDefault="00B70460">
            <w:pPr>
              <w:spacing w:after="360"/>
              <w:rPr>
                <w:rFonts w:ascii="Arial" w:eastAsia="Arial" w:hAnsi="Arial" w:cs="Arial"/>
                <w:lang w:val="lt-LT"/>
              </w:rPr>
            </w:pPr>
            <w:r w:rsidRPr="00B70460">
              <w:rPr>
                <w:rFonts w:ascii="Arial" w:eastAsia="Arial" w:hAnsi="Arial" w:cs="Arial"/>
                <w:lang w:val="lt-LT"/>
              </w:rPr>
              <w:t>Ledai-žirafa</w:t>
            </w:r>
          </w:p>
        </w:tc>
      </w:tr>
      <w:tr w:rsidR="004C5414" w:rsidRPr="00B70460" w14:paraId="29A089D1"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2E8B5C3" w14:textId="6BFD1B02" w:rsidR="004C5414" w:rsidRPr="00B70460" w:rsidRDefault="00B70460">
            <w:pPr>
              <w:spacing w:after="360"/>
              <w:rPr>
                <w:rFonts w:ascii="Arial" w:eastAsia="Arial" w:hAnsi="Arial" w:cs="Arial"/>
                <w:lang w:val="lt-LT"/>
              </w:rPr>
            </w:pPr>
            <w:r w:rsidRPr="00B70460">
              <w:rPr>
                <w:rFonts w:ascii="Arial" w:eastAsia="Arial" w:hAnsi="Arial" w:cs="Arial"/>
                <w:lang w:val="lt-LT"/>
              </w:rPr>
              <w:t>Kūnas yra veidas, o veidas - kūnas</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4491D4E1" w14:textId="23F69D84" w:rsidR="004C5414" w:rsidRPr="00B70460" w:rsidRDefault="00B70460">
            <w:pPr>
              <w:spacing w:after="360"/>
              <w:rPr>
                <w:rFonts w:ascii="Arial" w:eastAsia="Arial" w:hAnsi="Arial" w:cs="Arial"/>
                <w:lang w:val="lt-LT"/>
              </w:rPr>
            </w:pPr>
            <w:r w:rsidRPr="00B70460">
              <w:rPr>
                <w:rFonts w:ascii="Arial" w:eastAsia="Arial" w:hAnsi="Arial" w:cs="Arial"/>
                <w:lang w:val="lt-LT"/>
              </w:rPr>
              <w:t>Grįžtami ledai, valgomi vienoje ar kitoje pusėje</w:t>
            </w:r>
          </w:p>
        </w:tc>
      </w:tr>
      <w:tr w:rsidR="004C5414" w:rsidRPr="00B70460" w14:paraId="4E5A97A8"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0ED3D4BF" w14:textId="344812F0" w:rsidR="004C5414" w:rsidRPr="00B70460" w:rsidRDefault="00B70460">
            <w:pPr>
              <w:spacing w:after="360"/>
              <w:rPr>
                <w:rFonts w:ascii="Arial" w:eastAsia="Arial" w:hAnsi="Arial" w:cs="Arial"/>
                <w:lang w:val="lt-LT"/>
              </w:rPr>
            </w:pPr>
            <w:proofErr w:type="spellStart"/>
            <w:r w:rsidRPr="00B70460">
              <w:rPr>
                <w:rFonts w:ascii="Arial" w:eastAsia="Arial" w:hAnsi="Arial" w:cs="Arial"/>
                <w:lang w:val="lt-LT"/>
              </w:rPr>
              <w:t>Neišreikštumas</w:t>
            </w:r>
            <w:proofErr w:type="spellEnd"/>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6F95513E" w14:textId="7CFF3392" w:rsidR="004C5414" w:rsidRPr="00B70460" w:rsidRDefault="00B70460">
            <w:pPr>
              <w:spacing w:after="360"/>
              <w:rPr>
                <w:rFonts w:ascii="Arial" w:eastAsia="Arial" w:hAnsi="Arial" w:cs="Arial"/>
                <w:lang w:val="lt-LT"/>
              </w:rPr>
            </w:pPr>
            <w:r w:rsidRPr="00B70460">
              <w:rPr>
                <w:rFonts w:ascii="Arial" w:eastAsia="Arial" w:hAnsi="Arial" w:cs="Arial"/>
                <w:lang w:val="lt-LT"/>
              </w:rPr>
              <w:t>Skaidrūs, tačiau stipraus skonio ledai</w:t>
            </w:r>
          </w:p>
        </w:tc>
      </w:tr>
    </w:tbl>
    <w:p w14:paraId="0478E3AC" w14:textId="77777777" w:rsidR="004C5414" w:rsidRPr="00B70460" w:rsidRDefault="004C5414">
      <w:pPr>
        <w:shd w:val="clear" w:color="auto" w:fill="FFFFFF"/>
        <w:rPr>
          <w:rFonts w:ascii="Arial" w:eastAsia="Arial" w:hAnsi="Arial" w:cs="Arial"/>
          <w:b/>
          <w:lang w:val="lt-LT"/>
        </w:rPr>
      </w:pPr>
    </w:p>
    <w:p w14:paraId="4E7A7557" w14:textId="3DC847F8" w:rsidR="004C5414" w:rsidRPr="00B70460" w:rsidRDefault="00B70460" w:rsidP="00B70460">
      <w:pPr>
        <w:pBdr>
          <w:top w:val="nil"/>
          <w:left w:val="nil"/>
          <w:bottom w:val="nil"/>
          <w:right w:val="nil"/>
          <w:between w:val="nil"/>
        </w:pBdr>
        <w:spacing w:after="0"/>
        <w:ind w:left="360"/>
        <w:rPr>
          <w:rFonts w:ascii="Arial" w:eastAsia="Arial" w:hAnsi="Arial" w:cs="Arial"/>
          <w:b/>
          <w:color w:val="000000"/>
          <w:lang w:val="lt-LT"/>
        </w:rPr>
      </w:pPr>
      <w:r w:rsidRPr="00B70460">
        <w:rPr>
          <w:rFonts w:ascii="Arial" w:eastAsia="Arial" w:hAnsi="Arial" w:cs="Arial"/>
          <w:b/>
          <w:color w:val="000000"/>
          <w:lang w:val="lt-LT"/>
        </w:rPr>
        <w:t xml:space="preserve">3. </w:t>
      </w:r>
      <w:r w:rsidRPr="00B70460">
        <w:rPr>
          <w:rFonts w:ascii="Arial" w:eastAsia="Arial" w:hAnsi="Arial" w:cs="Arial"/>
          <w:b/>
          <w:color w:val="000000"/>
          <w:lang w:val="lt-LT"/>
        </w:rPr>
        <w:t>Vizualizuokite šias TED kalbas apie kūrybiškumą</w:t>
      </w:r>
    </w:p>
    <w:p w14:paraId="477DC5DE" w14:textId="77777777" w:rsidR="00B70460" w:rsidRPr="00B70460" w:rsidRDefault="00B70460" w:rsidP="00B70460">
      <w:pPr>
        <w:pBdr>
          <w:top w:val="nil"/>
          <w:left w:val="nil"/>
          <w:bottom w:val="nil"/>
          <w:right w:val="nil"/>
          <w:between w:val="nil"/>
        </w:pBdr>
        <w:spacing w:after="0"/>
        <w:ind w:left="360"/>
        <w:rPr>
          <w:rFonts w:ascii="Arial" w:eastAsia="Arial" w:hAnsi="Arial" w:cs="Arial"/>
          <w:b/>
          <w:color w:val="000000"/>
          <w:lang w:val="lt-LT"/>
        </w:rPr>
      </w:pPr>
    </w:p>
    <w:p w14:paraId="4AF461D2" w14:textId="4836AD54" w:rsidR="004C5414" w:rsidRPr="00B70460" w:rsidRDefault="00B70460">
      <w:pPr>
        <w:numPr>
          <w:ilvl w:val="0"/>
          <w:numId w:val="2"/>
        </w:numPr>
        <w:pBdr>
          <w:top w:val="nil"/>
          <w:left w:val="nil"/>
          <w:bottom w:val="nil"/>
          <w:right w:val="nil"/>
          <w:between w:val="nil"/>
        </w:pBdr>
        <w:rPr>
          <w:rFonts w:ascii="Arial" w:eastAsia="Arial" w:hAnsi="Arial" w:cs="Arial"/>
          <w:color w:val="000000"/>
          <w:lang w:val="lt-LT"/>
        </w:rPr>
      </w:pPr>
      <w:r w:rsidRPr="00B70460">
        <w:rPr>
          <w:rFonts w:ascii="Arial" w:eastAsia="Arial" w:hAnsi="Arial" w:cs="Arial"/>
          <w:color w:val="000000"/>
          <w:lang w:val="lt-LT"/>
        </w:rPr>
        <w:t>Keturios pamokos apie kūrybiškumą</w:t>
      </w:r>
    </w:p>
    <w:p w14:paraId="1C599F9D" w14:textId="77777777" w:rsidR="004C5414" w:rsidRPr="00B70460" w:rsidRDefault="00B70460">
      <w:pPr>
        <w:rPr>
          <w:rFonts w:ascii="Arial" w:eastAsia="Arial" w:hAnsi="Arial" w:cs="Arial"/>
          <w:lang w:val="lt-LT"/>
        </w:rPr>
      </w:pPr>
      <w:hyperlink r:id="rId6" w:anchor="t-255425">
        <w:r w:rsidR="00E853DC" w:rsidRPr="00B70460">
          <w:rPr>
            <w:rFonts w:ascii="Arial" w:eastAsia="Arial" w:hAnsi="Arial" w:cs="Arial"/>
            <w:color w:val="000000"/>
            <w:u w:val="single"/>
            <w:lang w:val="lt-LT"/>
          </w:rPr>
          <w:t xml:space="preserve">https://www.ted.com/talks/julie_burstein_4_lessons_in_creativity ? </w:t>
        </w:r>
        <w:proofErr w:type="spellStart"/>
        <w:r w:rsidR="00E853DC" w:rsidRPr="00B70460">
          <w:rPr>
            <w:rFonts w:ascii="Arial" w:eastAsia="Arial" w:hAnsi="Arial" w:cs="Arial"/>
            <w:color w:val="000000"/>
            <w:u w:val="single"/>
            <w:lang w:val="lt-LT"/>
          </w:rPr>
          <w:t>language</w:t>
        </w:r>
        <w:proofErr w:type="spellEnd"/>
        <w:r w:rsidR="00E853DC" w:rsidRPr="00B70460">
          <w:rPr>
            <w:rFonts w:ascii="Arial" w:eastAsia="Arial" w:hAnsi="Arial" w:cs="Arial"/>
            <w:color w:val="000000"/>
            <w:u w:val="single"/>
            <w:lang w:val="lt-LT"/>
          </w:rPr>
          <w:t xml:space="preserve"> = </w:t>
        </w:r>
        <w:proofErr w:type="spellStart"/>
        <w:r w:rsidR="00E853DC" w:rsidRPr="00B70460">
          <w:rPr>
            <w:rFonts w:ascii="Arial" w:eastAsia="Arial" w:hAnsi="Arial" w:cs="Arial"/>
            <w:color w:val="000000"/>
            <w:u w:val="single"/>
            <w:lang w:val="lt-LT"/>
          </w:rPr>
          <w:t>en</w:t>
        </w:r>
        <w:proofErr w:type="spellEnd"/>
        <w:r w:rsidR="00E853DC" w:rsidRPr="00B70460">
          <w:rPr>
            <w:rFonts w:ascii="Arial" w:eastAsia="Arial" w:hAnsi="Arial" w:cs="Arial"/>
            <w:color w:val="000000"/>
            <w:u w:val="single"/>
            <w:lang w:val="lt-LT"/>
          </w:rPr>
          <w:t xml:space="preserve"> # t-255425</w:t>
        </w:r>
      </w:hyperlink>
    </w:p>
    <w:p w14:paraId="354D1A36" w14:textId="70474562" w:rsidR="004C5414" w:rsidRPr="00B70460" w:rsidRDefault="00B70460">
      <w:pPr>
        <w:numPr>
          <w:ilvl w:val="0"/>
          <w:numId w:val="2"/>
        </w:numPr>
        <w:pBdr>
          <w:top w:val="nil"/>
          <w:left w:val="nil"/>
          <w:bottom w:val="nil"/>
          <w:right w:val="nil"/>
          <w:between w:val="nil"/>
        </w:pBdr>
        <w:rPr>
          <w:rFonts w:ascii="Arial" w:eastAsia="Arial" w:hAnsi="Arial" w:cs="Arial"/>
          <w:color w:val="000000"/>
          <w:lang w:val="lt-LT"/>
        </w:rPr>
      </w:pPr>
      <w:r w:rsidRPr="00B70460">
        <w:rPr>
          <w:rFonts w:ascii="Arial" w:eastAsia="Arial" w:hAnsi="Arial" w:cs="Arial"/>
          <w:color w:val="000000"/>
          <w:lang w:val="lt-LT"/>
        </w:rPr>
        <w:t>Jei norite tapti kūrybingesnis, eikite pasivaikščioti</w:t>
      </w:r>
    </w:p>
    <w:p w14:paraId="69F34ABA" w14:textId="77777777" w:rsidR="004C5414" w:rsidRPr="00B70460" w:rsidRDefault="00B70460">
      <w:pPr>
        <w:rPr>
          <w:rFonts w:ascii="Arial" w:eastAsia="Arial" w:hAnsi="Arial" w:cs="Arial"/>
          <w:lang w:val="lt-LT"/>
        </w:rPr>
      </w:pPr>
      <w:hyperlink r:id="rId7">
        <w:r w:rsidR="00E853DC" w:rsidRPr="00B70460">
          <w:rPr>
            <w:rFonts w:ascii="Arial" w:eastAsia="Arial" w:hAnsi="Arial" w:cs="Arial"/>
            <w:color w:val="000000"/>
            <w:u w:val="single"/>
            <w:lang w:val="lt-LT"/>
          </w:rPr>
          <w:t>https://www.ted.com/talks/marily_oppezzo_want_to_be_more_creative_go_for_a_walk/transcript</w:t>
        </w:r>
      </w:hyperlink>
    </w:p>
    <w:p w14:paraId="3586BBDB" w14:textId="39FD3AD2" w:rsidR="004C5414" w:rsidRPr="00B70460" w:rsidRDefault="00B70460">
      <w:pPr>
        <w:numPr>
          <w:ilvl w:val="0"/>
          <w:numId w:val="2"/>
        </w:numPr>
        <w:pBdr>
          <w:top w:val="nil"/>
          <w:left w:val="nil"/>
          <w:bottom w:val="nil"/>
          <w:right w:val="nil"/>
          <w:between w:val="nil"/>
        </w:pBdr>
        <w:rPr>
          <w:rFonts w:ascii="Arial" w:eastAsia="Arial" w:hAnsi="Arial" w:cs="Arial"/>
          <w:color w:val="000000"/>
          <w:lang w:val="lt-LT"/>
        </w:rPr>
      </w:pPr>
      <w:r w:rsidRPr="00B70460">
        <w:rPr>
          <w:rFonts w:ascii="Arial" w:eastAsia="Arial" w:hAnsi="Arial" w:cs="Arial"/>
          <w:color w:val="000000"/>
          <w:lang w:val="lt-LT"/>
        </w:rPr>
        <w:t>Galingas būdas atskleisti savo natūralų kūrybiškumą</w:t>
      </w:r>
    </w:p>
    <w:p w14:paraId="4DC04BCE" w14:textId="59CA97C3" w:rsidR="00E853DC" w:rsidRPr="00B70460" w:rsidRDefault="00B70460" w:rsidP="00E853DC">
      <w:pPr>
        <w:pStyle w:val="Antrat1"/>
        <w:shd w:val="clear" w:color="auto" w:fill="FFFFFF"/>
        <w:spacing w:after="280"/>
        <w:rPr>
          <w:rFonts w:ascii="Arial" w:eastAsia="Arial" w:hAnsi="Arial" w:cs="Arial"/>
          <w:b w:val="0"/>
          <w:bCs/>
          <w:sz w:val="22"/>
          <w:szCs w:val="22"/>
          <w:lang w:val="lt-LT"/>
        </w:rPr>
      </w:pPr>
      <w:hyperlink r:id="rId8" w:history="1">
        <w:r w:rsidR="00E853DC" w:rsidRPr="00B70460">
          <w:rPr>
            <w:rStyle w:val="Hipersaitas"/>
            <w:rFonts w:ascii="Arial" w:hAnsi="Arial" w:cs="Arial"/>
            <w:b w:val="0"/>
            <w:bCs/>
            <w:sz w:val="22"/>
            <w:szCs w:val="22"/>
            <w:lang w:val="lt-LT"/>
          </w:rPr>
          <w:t>https://www.ted.com/talks/tim_harford_a_powerful_way_to_unleash_your_natural_creativity/transcript?language=en</w:t>
        </w:r>
      </w:hyperlink>
    </w:p>
    <w:p w14:paraId="2393EDDE" w14:textId="77777777" w:rsidR="00B70460" w:rsidRPr="00B70460" w:rsidRDefault="00B70460" w:rsidP="00E853DC">
      <w:pPr>
        <w:rPr>
          <w:rFonts w:ascii="Arial" w:eastAsia="Arial" w:hAnsi="Arial" w:cs="Arial"/>
          <w:lang w:val="lt-LT"/>
        </w:rPr>
      </w:pPr>
      <w:r w:rsidRPr="00B70460">
        <w:rPr>
          <w:rFonts w:ascii="Arial" w:eastAsia="Arial" w:hAnsi="Arial" w:cs="Arial"/>
          <w:lang w:val="lt-LT"/>
        </w:rPr>
        <w:t>4. Stebinantys pradinių mąstytojų įpročiai</w:t>
      </w:r>
    </w:p>
    <w:p w14:paraId="22D6F473" w14:textId="0E63BE9B" w:rsidR="004C5414" w:rsidRPr="00B70460" w:rsidRDefault="00B70460" w:rsidP="00E853DC">
      <w:pPr>
        <w:rPr>
          <w:lang w:val="lt-LT"/>
        </w:rPr>
      </w:pPr>
      <w:hyperlink r:id="rId9" w:history="1">
        <w:r w:rsidR="00E853DC" w:rsidRPr="00B70460">
          <w:rPr>
            <w:rStyle w:val="Hipersaitas"/>
            <w:color w:val="000000"/>
            <w:lang w:val="lt-LT"/>
          </w:rPr>
          <w:t>https://www.ted.com/talks/adam_grant_the_surprising_habits_of_original_thinkers/transcript?referrer=playlist-kickstart_your_creativity</w:t>
        </w:r>
      </w:hyperlink>
    </w:p>
    <w:sectPr w:rsidR="004C5414" w:rsidRPr="00B7046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libri"/>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44B1B"/>
    <w:multiLevelType w:val="multilevel"/>
    <w:tmpl w:val="080E8538"/>
    <w:lvl w:ilvl="0">
      <w:start w:val="1"/>
      <w:numFmt w:val="decimal"/>
      <w:lvlText w:val="%1."/>
      <w:lvlJc w:val="left"/>
      <w:pPr>
        <w:ind w:left="720" w:hanging="360"/>
      </w:pPr>
      <w:rPr>
        <w:rFonts w:ascii="inherit" w:eastAsia="inherit" w:hAnsi="inherit" w:cs="inheri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A6202"/>
    <w:multiLevelType w:val="multilevel"/>
    <w:tmpl w:val="4EBC1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9AD6AD4"/>
    <w:multiLevelType w:val="multilevel"/>
    <w:tmpl w:val="16F87A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84022F"/>
    <w:multiLevelType w:val="multilevel"/>
    <w:tmpl w:val="D7B86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NDc0sjA3NzCxNDRW0lEKTi0uzszPAykwrAUAqxKLfCwAAAA="/>
  </w:docVars>
  <w:rsids>
    <w:rsidRoot w:val="004C5414"/>
    <w:rsid w:val="003212E5"/>
    <w:rsid w:val="004C5414"/>
    <w:rsid w:val="00B70460"/>
    <w:rsid w:val="00E85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CFB9"/>
  <w15:docId w15:val="{DA4AA007-27B0-41EF-A98B-223FBE5C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spacing w:line="240" w:lineRule="auto"/>
      <w:outlineLvl w:val="0"/>
    </w:pPr>
    <w:rPr>
      <w:rFonts w:ascii="Times New Roman" w:eastAsia="Times New Roman" w:hAnsi="Times New Roman" w:cs="Times New Roman"/>
      <w:b/>
      <w:sz w:val="48"/>
      <w:szCs w:val="48"/>
    </w:rPr>
  </w:style>
  <w:style w:type="paragraph" w:styleId="Antrat2">
    <w:name w:val="heading 2"/>
    <w:basedOn w:val="prastasis"/>
    <w:next w:val="prastasis"/>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ipersaitas">
    <w:name w:val="Hyperlink"/>
    <w:basedOn w:val="Numatytasispastraiposriftas"/>
    <w:uiPriority w:val="99"/>
    <w:unhideWhenUsed/>
    <w:rsid w:val="00E853DC"/>
    <w:rPr>
      <w:color w:val="0000FF" w:themeColor="hyperlink"/>
      <w:u w:val="single"/>
    </w:rPr>
  </w:style>
  <w:style w:type="character" w:styleId="Neapdorotaspaminjimas">
    <w:name w:val="Unresolved Mention"/>
    <w:basedOn w:val="Numatytasispastraiposriftas"/>
    <w:uiPriority w:val="99"/>
    <w:semiHidden/>
    <w:unhideWhenUsed/>
    <w:rsid w:val="00E8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d.com/talks/tim_harford_a_powerful_way_to_unleash_your_natural_creativity/transcript?language=en" TargetMode="External"/><Relationship Id="rId3" Type="http://schemas.openxmlformats.org/officeDocument/2006/relationships/settings" Target="settings.xml"/><Relationship Id="rId7" Type="http://schemas.openxmlformats.org/officeDocument/2006/relationships/hyperlink" Target="https://www.ted.com/talks/marily_oppezzo_want_to_be_more_creative_go_for_a_walk/tran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julie_burstein_4_lessons_in_creativity?language=e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d.com/talks/adam_grant_the_surprising_habits_of_original_thinkers/transcript?referrer=playlist-kickstart_your_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Volodzkaitė Greta</cp:lastModifiedBy>
  <cp:revision>2</cp:revision>
  <dcterms:created xsi:type="dcterms:W3CDTF">2020-11-19T22:12:00Z</dcterms:created>
  <dcterms:modified xsi:type="dcterms:W3CDTF">2020-11-19T22:12:00Z</dcterms:modified>
</cp:coreProperties>
</file>